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8.0" w:type="dxa"/>
        <w:jc w:val="left"/>
        <w:tblInd w:w="-97.0" w:type="dxa"/>
        <w:tblLayout w:type="fixed"/>
        <w:tblLook w:val="0400"/>
      </w:tblPr>
      <w:tblGrid>
        <w:gridCol w:w="1087"/>
        <w:gridCol w:w="1389"/>
        <w:gridCol w:w="432"/>
        <w:gridCol w:w="62"/>
        <w:gridCol w:w="1280"/>
        <w:gridCol w:w="798"/>
        <w:gridCol w:w="622"/>
        <w:gridCol w:w="174"/>
        <w:gridCol w:w="266"/>
        <w:gridCol w:w="834"/>
        <w:gridCol w:w="653"/>
        <w:gridCol w:w="653"/>
        <w:gridCol w:w="653"/>
        <w:gridCol w:w="547"/>
        <w:gridCol w:w="295"/>
        <w:gridCol w:w="1253"/>
        <w:tblGridChange w:id="0">
          <w:tblGrid>
            <w:gridCol w:w="1087"/>
            <w:gridCol w:w="1389"/>
            <w:gridCol w:w="432"/>
            <w:gridCol w:w="62"/>
            <w:gridCol w:w="1280"/>
            <w:gridCol w:w="798"/>
            <w:gridCol w:w="622"/>
            <w:gridCol w:w="174"/>
            <w:gridCol w:w="266"/>
            <w:gridCol w:w="834"/>
            <w:gridCol w:w="653"/>
            <w:gridCol w:w="653"/>
            <w:gridCol w:w="653"/>
            <w:gridCol w:w="547"/>
            <w:gridCol w:w="295"/>
            <w:gridCol w:w="1253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GRADE LEVEL:  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rtl w:val="0"/>
              </w:rPr>
              <w:t xml:space="preserve"> Grade</w:t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COURSE / SUBJECT: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rtl w:val="0"/>
              </w:rPr>
              <w:t xml:space="preserve">English Language Arts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 OF STUDY :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Courageous Characters – Unit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THEME / ESSENTIAL QUESTION(S):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ESSENTIAL GUIDING QUESTION: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8"/>
                <w:szCs w:val="28"/>
                <w:rtl w:val="0"/>
              </w:rPr>
              <w:t xml:space="preserve">How are acts of courage revealed in writing?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STANDARDS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ENDURING UNDERSTANDINGS            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are the long term, big-ideas of content that I want students to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KNOWLEDGE / SKILLS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do I want Students to Know                                                           &amp; Be Able to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PACING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Lesson #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# of Days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                               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RL.6.9: Compare and contrast texts in different forms or genres (e.g., stories and poems; historical novels and fantasy stories) in terms of their approaches to similar themes and topics.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RL.6.2: Determine a central idea of a text and how it is conveyed through particular details; provide a summary of the text distinct from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personal opinions and judgments.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W.6.1: Write arguments to support claims with clear reasons and relevant evidence.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W.6.6: Use technology, including the Internet, to produce and publish writing as well as to interact and collaborate with others;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demonstrate sufficient command of keyboarding skills to type a minimum or three pages in a single sitting.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L.6.3: Use knowledge of language and its conventions when writing, speaking, reading, or listening.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SL.6.2: Interpret information presented in diverse formats (e.g., visually, quantitatively, orally) and explain how it contributes to 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topic, text, or issue under study.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FOCUS QUESTIONS: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Who is the author’s target audience?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What is the author trying to say?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What is the point of view that I am defending?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Compare and contrast texts in different forms or genres in terms of their approaches to similar themes and topic.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Determine a central idea of a text and how it is conveyed through particular details; provide a summary of the text distinct from personal opinions and judgments.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Write arguments to support claims with clear reasons and relevant evidence. Use technology, including the internet, to produce and publish writing as well as to interact and collaborate with others; demonstrate sufficient command of keyboarding skills to type a minimum of three pages in a single setting.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Use knowledge of language and its conventions when writing, speaking, reading, or listening.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Interpret information presented in diverse formats and explain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Arial" w:cs="Arial" w:eastAsia="Arial" w:hAnsi="Arial"/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980000"/>
                <w:sz w:val="24"/>
                <w:szCs w:val="24"/>
                <w:rtl w:val="0"/>
              </w:rPr>
              <w:t xml:space="preserve">how it contributes to a topic, text, or issue under study.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November - 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160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ASSESSMENT: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0"/>
                <w:szCs w:val="20"/>
                <w:rtl w:val="0"/>
              </w:rPr>
              <w:t xml:space="preserve">HOW WILL I KNOW WHAT MY STUDENTS HAVE LEARNED?  WHAT WILL BE THE EVIDENCE?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Observation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Formative Assessments such as the use of the students’ whiteboards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Rubrics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Quizzes- Vocabulary, comprehension, etc.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Common Assessments - Pattern for Freedom: Women’s quilts as Art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Written argument with claim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Responses to open responses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Small group discussion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Journals and or IPAD Journals</w:t>
            </w:r>
          </w:p>
        </w:tc>
      </w:tr>
      <w:tr>
        <w:trPr>
          <w:trHeight w:val="2700" w:hRule="atLeast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TECHNOLOGY &amp; RELATED CONTENT INTEGRATION: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  <w:rtl w:val="0"/>
              </w:rPr>
              <w:t xml:space="preserve">For the teacher: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A computer and projector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rtl w:val="0"/>
              </w:rPr>
              <w:t xml:space="preserve">A copy of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4"/>
                <w:szCs w:val="24"/>
                <w:highlight w:val="white"/>
                <w:u w:val="single"/>
                <w:rtl w:val="0"/>
              </w:rPr>
              <w:t xml:space="preserve">Maniac Magee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4"/>
                <w:szCs w:val="24"/>
                <w:u w:val="single"/>
                <w:rtl w:val="0"/>
              </w:rPr>
              <w:t xml:space="preserve">Sadako and the Thousand Paper Cranes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 (Eleanor Coerr) (easier to read but excellent) ***  Possible Read aloud (no student copies)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Examples of vocabulary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Large paper for anchor charts for students to develop and for teachers to display throughout the unit. (Anchor charts are produced collaboratively by teachers and students and kept in a visible location in the classroom. They are frequently updated in subsequent lessons and serve as a reference for the unit or several lessons. 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Unit chapter questions and vocabulary (see attachment)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  <w:rtl w:val="0"/>
              </w:rPr>
              <w:t xml:space="preserve">For students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class set of the following: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rtl w:val="0"/>
              </w:rPr>
              <w:t xml:space="preserve">The paperback edition of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4"/>
                <w:szCs w:val="24"/>
                <w:highlight w:val="white"/>
                <w:rtl w:val="0"/>
              </w:rPr>
              <w:t xml:space="preserve">Maniac Magee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rtl w:val="0"/>
              </w:rPr>
              <w:t xml:space="preserve">Journals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, which can be either computer files or paper notebooks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Journal organizers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Copies of unit chapter questions and vocabulary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white"/>
                <w:rtl w:val="0"/>
              </w:rPr>
              <w:t xml:space="preserve">Differential instructional tools and technologies: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contextualSpacing w:val="0"/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8"/>
                <w:szCs w:val="28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8"/>
                <w:szCs w:val="28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rtl w:val="0"/>
              </w:rPr>
              <w:t xml:space="preserve">ccess to texts: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u w:val="single"/>
                <w:rtl w:val="0"/>
              </w:rPr>
              <w:t xml:space="preserve">Audio version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 of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8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980000"/>
                <w:sz w:val="24"/>
                <w:szCs w:val="24"/>
                <w:highlight w:val="white"/>
                <w:u w:val="single"/>
                <w:rtl w:val="0"/>
              </w:rPr>
              <w:t xml:space="preserve">Maniac Magee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80000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88" w:lineRule="auto"/>
              <w:ind w:left="720" w:hanging="360"/>
              <w:contextualSpacing w:val="1"/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Available 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highlight w:val="white"/>
                <w:rtl w:val="0"/>
              </w:rPr>
              <w:t xml:space="preserve">Learning Ally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highlight w:val="white"/>
                <w:rtl w:val="0"/>
              </w:rPr>
              <w:t xml:space="preserve">.(* Contact special educator)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contextualSpacing w:val="1"/>
              <w:rPr>
                <w:b w:val="0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contextualSpacing w:val="1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Small group reading/discussion groups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contextualSpacing w:val="1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modeling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contextualSpacing w:val="1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Teacher driven note taking (can take a picture with IPAD for some)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contextualSpacing w:val="1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80000"/>
                <w:sz w:val="24"/>
                <w:szCs w:val="24"/>
                <w:rtl w:val="0"/>
              </w:rPr>
              <w:t xml:space="preserve">Dragon</w:t>
            </w:r>
            <w:r w:rsidDel="00000000" w:rsidR="00000000" w:rsidRPr="00000000">
              <w:rPr>
                <w:rFonts w:ascii="Arial" w:cs="Arial" w:eastAsia="Arial" w:hAnsi="Arial"/>
                <w:color w:val="980000"/>
                <w:sz w:val="24"/>
                <w:szCs w:val="24"/>
                <w:rtl w:val="0"/>
              </w:rPr>
              <w:t xml:space="preserve"> app (for some writing assignments for students as needed)(dictation to text translator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u w:val="single"/>
                <w:rtl w:val="0"/>
              </w:rPr>
              <w:t xml:space="preserve">Additional Resources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(Wheatley Portfolio Grade 6-8 ELA Common Core Additional Resources)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Literary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Poetry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“Casabianca” (Felicia Dorothea Hemans)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Read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“If” (Rudyard Kipling) (EA)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Read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Lives: Poems about Famous Americans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(Lee Bennett Hopkins and Leslie Staub)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Stories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Counting on Grace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(Elizabeth Winthrop)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Fire from the Rock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(Sharon M. Draper)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Free at Last! Stories and Songs of Emancipation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(Doreen Rappaport and Shane W. Evans)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Iqbal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(Francesco D’Adamo)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Kira-Kira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(Cynthia Kadohata) </w:t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5" id="1" name="image2.gif"/>
                  <a:graphic>
                    <a:graphicData uri="http://schemas.openxmlformats.org/drawingml/2006/picture">
                      <pic:pic>
                        <pic:nvPicPr>
                          <pic:cNvPr descr="5" id="0" name="image2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4" id="3" name="image4.gif"/>
                  <a:graphic>
                    <a:graphicData uri="http://schemas.openxmlformats.org/drawingml/2006/picture">
                      <pic:pic>
                        <pic:nvPicPr>
                          <pic:cNvPr descr="4" id="0" name="image4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3" id="2" name="image3.gif"/>
                  <a:graphic>
                    <a:graphicData uri="http://schemas.openxmlformats.org/drawingml/2006/picture">
                      <pic:pic>
                        <pic:nvPicPr>
                          <pic:cNvPr descr="3" id="0" name="image3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2" id="5" name="image6.gif"/>
                  <a:graphic>
                    <a:graphicData uri="http://schemas.openxmlformats.org/drawingml/2006/picture">
                      <pic:pic>
                        <pic:nvPicPr>
                          <pic:cNvPr descr="2" id="0" name="image6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1" id="4" name="image5.gif"/>
                  <a:graphic>
                    <a:graphicData uri="http://schemas.openxmlformats.org/drawingml/2006/picture">
                      <pic:pic>
                        <pic:nvPicPr>
                          <pic:cNvPr descr="1" id="0" name="image5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Lyddie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(Katherine Paterson) (EA)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Red Scarf Girl: A Memoir of the Cultural Revolution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(Ji-Li Jiang)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Shipwreck Season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(Donna Hill)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Snow Falling in Spring: Coming of Age in China During the Cultural Revolution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(Moying Li)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SOS Titanic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(Eve Bunting) </w:t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5" id="7" name="image8.gif"/>
                  <a:graphic>
                    <a:graphicData uri="http://schemas.openxmlformats.org/drawingml/2006/picture">
                      <pic:pic>
                        <pic:nvPicPr>
                          <pic:cNvPr descr="5" id="0" name="image8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4" id="6" name="image7.gif"/>
                  <a:graphic>
                    <a:graphicData uri="http://schemas.openxmlformats.org/drawingml/2006/picture">
                      <pic:pic>
                        <pic:nvPicPr>
                          <pic:cNvPr descr="4" id="0" name="image7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3" id="9" name="image10.gif"/>
                  <a:graphic>
                    <a:graphicData uri="http://schemas.openxmlformats.org/drawingml/2006/picture">
                      <pic:pic>
                        <pic:nvPicPr>
                          <pic:cNvPr descr="3" id="0" name="image10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2" id="8" name="image9.gif"/>
                  <a:graphic>
                    <a:graphicData uri="http://schemas.openxmlformats.org/drawingml/2006/picture">
                      <pic:pic>
                        <pic:nvPicPr>
                          <pic:cNvPr descr="2" id="0" name="image9.gif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1" id="12" name="image13.gif"/>
                  <a:graphic>
                    <a:graphicData uri="http://schemas.openxmlformats.org/drawingml/2006/picture">
                      <pic:pic>
                        <pic:nvPicPr>
                          <pic:cNvPr descr="1" id="0" name="image13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Circuit: Stories from the Life of a Migrant Child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(Francisco Jiménez) </w:t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4" id="10" name="image11.gif"/>
                  <a:graphic>
                    <a:graphicData uri="http://schemas.openxmlformats.org/drawingml/2006/picture">
                      <pic:pic>
                        <pic:nvPicPr>
                          <pic:cNvPr descr="4" id="0" name="image11.gif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3" id="11" name="image12.gif"/>
                  <a:graphic>
                    <a:graphicData uri="http://schemas.openxmlformats.org/drawingml/2006/picture">
                      <pic:pic>
                        <pic:nvPicPr>
                          <pic:cNvPr descr="3" id="0" name="image12.gif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2" id="13" name="image14.gif"/>
                  <a:graphic>
                    <a:graphicData uri="http://schemas.openxmlformats.org/drawingml/2006/picture">
                      <pic:pic>
                        <pic:nvPicPr>
                          <pic:cNvPr descr="2" id="0" name="image14.gif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1" id="14" name="image15.gif"/>
                  <a:graphic>
                    <a:graphicData uri="http://schemas.openxmlformats.org/drawingml/2006/picture">
                      <pic:pic>
                        <pic:nvPicPr>
                          <pic:cNvPr descr="1" id="0" name="image15.gif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1" id="15" name="image17.gif"/>
                  <a:graphic>
                    <a:graphicData uri="http://schemas.openxmlformats.org/drawingml/2006/picture">
                      <pic:pic>
                        <pic:nvPicPr>
                          <pic:cNvPr descr="1" id="0" name="image17.gif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"The People Could Fly" from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People Could Fly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(Virginia Hamilton and Leo and Diane Dillon) (E) </w:t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5" id="16" name="image18.gif"/>
                  <a:graphic>
                    <a:graphicData uri="http://schemas.openxmlformats.org/drawingml/2006/picture">
                      <pic:pic>
                        <pic:nvPicPr>
                          <pic:cNvPr descr="5" id="0" name="image18.gif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4" id="17" name="image19.gif"/>
                  <a:graphic>
                    <a:graphicData uri="http://schemas.openxmlformats.org/drawingml/2006/picture">
                      <pic:pic>
                        <pic:nvPicPr>
                          <pic:cNvPr descr="4" id="0" name="image19.gif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3" id="18" name="image20.gif"/>
                  <a:graphic>
                    <a:graphicData uri="http://schemas.openxmlformats.org/drawingml/2006/picture">
                      <pic:pic>
                        <pic:nvPicPr>
                          <pic:cNvPr descr="3" id="0" name="image20.gif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2" id="19" name="image21.gif"/>
                  <a:graphic>
                    <a:graphicData uri="http://schemas.openxmlformats.org/drawingml/2006/picture">
                      <pic:pic>
                        <pic:nvPicPr>
                          <pic:cNvPr descr="2" id="0" name="image21.gif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114300" cy="114300"/>
                  <wp:effectExtent b="0" l="0" r="0" t="0"/>
                  <wp:docPr descr="1" id="20" name="image22.gif"/>
                  <a:graphic>
                    <a:graphicData uri="http://schemas.openxmlformats.org/drawingml/2006/picture">
                      <pic:pic>
                        <pic:nvPicPr>
                          <pic:cNvPr descr="1" id="0" name="image22.gif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Power of Light: Eight Stories for Hanukkah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(Isaac Bashevis Singer and Irene Lieblich) (EA)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Sign of the Chrysanthemum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(Katherine Paterson and Peter Landa) (EA)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Tale of the Mandarin Ducks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(Katherine Paterson and Leo and Diane Dillon) (E)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Timothy of the Cay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(Theodore Taylor)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Under the Blood-Red Sun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(Graham Salisbury)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Uprising: Three Young Women Caught in the Fire That Changed America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(Margaret Peterson Haddix) 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War Comes to Willy Freeman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(James and Christopher Collier) (easier to read but excellent)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Informational Texts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Nonfiction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 Night to Remember: A Classic Account of the Final Hours of the Titanic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(Walter Lord) (E)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Exploring the Titanic: How the Greatest Ship Ever Lost—Was Found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(Robert D. Ballard)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Harriet Tubman: Conductor on the Underground Railroad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(Ann Petry) (E)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Kids at Work: Lewis Hine and the Crusade Against Child Labor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(Russell Freedman and Lewis Hine) (EA)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Kids On Strike!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(Susan Campbell Bartoletti)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Kids with Courage: True Stories About Young People Making a Difference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(Barbara A. Lewis)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Leon’s Story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(Leon Walter Tillage and Susan L. Roth)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Life in Ancient Japan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(Peoples of the Ancient World) (Hazel Richardson)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Many Thousand Gone: African Americans from Slavery to Freedom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(Companion 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The People Could Fly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 (Virginia Hamilton and Leo and Diane Dillon)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Narrative of the Life of Frederick Douglass, An American Slave, Written by Himself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(Frederick Douglass) (E)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Rebels Against Slavery: American Slave Revolts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(Patricia C. and Fredrick L. McKissack)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Samurai: Warlords of Japan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(High Interest Books) (Arlan Dean)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Shipwreck at the Bottom of the World: The Extraordinary True Story of Shackleton and the Endurance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(Jennifer Armstrong)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Up Before Daybreak: Cotton and People in America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(Deborah Hopkinson)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You Wouldn't Want to Sail on the Titanic! One Voyage You'd Rather Not Make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(You Wouldn’t Want To…Series) (David Stewart, David Salariya and David Antram)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Art, Music and Media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Frederick Douglass Home (Washington, DC, ca. 1855)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Iwo Jima Memorial (Rosslyn, Virginia, 1954)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Lincoln Memorial (Washington, DC, 1912-1922) 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Vietnam War Memorial (Washington, DC, 1982)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Washington Monument (Washington, DC, 1848-1888)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View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Traditional, “Cotton Mill Girls” (as sung by Michèle Welborne)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Read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Traditional, “Nobody Knows the Trouble I’ve Seen” 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Listen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144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Traditional, possibly Wallis Willis, “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Swing Low, Sweet Chariot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Listen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Thz1zDAytzU" TargetMode="External"/><Relationship Id="rId20" Type="http://schemas.openxmlformats.org/officeDocument/2006/relationships/image" Target="media/image12.gif"/><Relationship Id="rId22" Type="http://schemas.openxmlformats.org/officeDocument/2006/relationships/image" Target="media/image15.gif"/><Relationship Id="rId21" Type="http://schemas.openxmlformats.org/officeDocument/2006/relationships/image" Target="media/image14.gif"/><Relationship Id="rId24" Type="http://schemas.openxmlformats.org/officeDocument/2006/relationships/hyperlink" Target="http://commoncore.org/maps/review/the_circuit_stories_from_the_life_of_a_migrant_child_francisco_jimenez" TargetMode="External"/><Relationship Id="rId23" Type="http://schemas.openxmlformats.org/officeDocument/2006/relationships/image" Target="media/image17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26" Type="http://schemas.openxmlformats.org/officeDocument/2006/relationships/image" Target="media/image19.gif"/><Relationship Id="rId25" Type="http://schemas.openxmlformats.org/officeDocument/2006/relationships/image" Target="media/image18.gif"/><Relationship Id="rId28" Type="http://schemas.openxmlformats.org/officeDocument/2006/relationships/image" Target="media/image21.gif"/><Relationship Id="rId27" Type="http://schemas.openxmlformats.org/officeDocument/2006/relationships/image" Target="media/image20.gif"/><Relationship Id="rId5" Type="http://schemas.openxmlformats.org/officeDocument/2006/relationships/hyperlink" Target="http://www.poetry-archive.com/h/casabianca.html" TargetMode="External"/><Relationship Id="rId6" Type="http://schemas.openxmlformats.org/officeDocument/2006/relationships/hyperlink" Target="http://www.poetryfoundation.org/poem/175772" TargetMode="External"/><Relationship Id="rId29" Type="http://schemas.openxmlformats.org/officeDocument/2006/relationships/image" Target="media/image22.gif"/><Relationship Id="rId7" Type="http://schemas.openxmlformats.org/officeDocument/2006/relationships/image" Target="media/image2.gif"/><Relationship Id="rId8" Type="http://schemas.openxmlformats.org/officeDocument/2006/relationships/image" Target="media/image4.gif"/><Relationship Id="rId31" Type="http://schemas.openxmlformats.org/officeDocument/2006/relationships/hyperlink" Target="http://www.gutenberg.org/files/23/23-h/23-h.htm" TargetMode="External"/><Relationship Id="rId30" Type="http://schemas.openxmlformats.org/officeDocument/2006/relationships/hyperlink" Target="http://commoncore.org/maps/review/the_people_could_flyfrom_the_people_could_flyvirginia_hamilton_and_leo_and_" TargetMode="External"/><Relationship Id="rId11" Type="http://schemas.openxmlformats.org/officeDocument/2006/relationships/image" Target="media/image5.gif"/><Relationship Id="rId33" Type="http://schemas.openxmlformats.org/officeDocument/2006/relationships/hyperlink" Target="http://en.wikipedia.org/wiki/File:USMC_War_Memorial_Sunset_Parade_2008-07-08.jpg" TargetMode="External"/><Relationship Id="rId10" Type="http://schemas.openxmlformats.org/officeDocument/2006/relationships/image" Target="media/image6.gif"/><Relationship Id="rId32" Type="http://schemas.openxmlformats.org/officeDocument/2006/relationships/hyperlink" Target="http://www.nps.gov/history/museum/exhibits/douglass/" TargetMode="External"/><Relationship Id="rId13" Type="http://schemas.openxmlformats.org/officeDocument/2006/relationships/image" Target="media/image8.gif"/><Relationship Id="rId35" Type="http://schemas.openxmlformats.org/officeDocument/2006/relationships/hyperlink" Target="http://www.nps.gov/vive/index.htm" TargetMode="External"/><Relationship Id="rId12" Type="http://schemas.openxmlformats.org/officeDocument/2006/relationships/hyperlink" Target="http://commoncore.org/maps/review/kirakira_cynthia_kadohata" TargetMode="External"/><Relationship Id="rId34" Type="http://schemas.openxmlformats.org/officeDocument/2006/relationships/hyperlink" Target="http://en.wikipedia.org/wiki/File:Aerial_view_of_Lincoln_Memorial_-_east_side_EDIT.jpeg" TargetMode="External"/><Relationship Id="rId15" Type="http://schemas.openxmlformats.org/officeDocument/2006/relationships/image" Target="media/image10.gif"/><Relationship Id="rId37" Type="http://schemas.openxmlformats.org/officeDocument/2006/relationships/hyperlink" Target="http://www.acousticmusicarchive.com/cotton-mill-girls-chords-lyrics" TargetMode="External"/><Relationship Id="rId14" Type="http://schemas.openxmlformats.org/officeDocument/2006/relationships/image" Target="media/image7.gif"/><Relationship Id="rId36" Type="http://schemas.openxmlformats.org/officeDocument/2006/relationships/hyperlink" Target="http://en.wikipedia.org/wiki/File:Washington_Monument_Dusk_Jan_2006.jpg" TargetMode="External"/><Relationship Id="rId17" Type="http://schemas.openxmlformats.org/officeDocument/2006/relationships/image" Target="media/image13.gif"/><Relationship Id="rId39" Type="http://schemas.openxmlformats.org/officeDocument/2006/relationships/hyperlink" Target="http://www.negrospirituals.com/news-song/swing_low_sweet_chariot_swing_lo.htm" TargetMode="External"/><Relationship Id="rId16" Type="http://schemas.openxmlformats.org/officeDocument/2006/relationships/image" Target="media/image9.gif"/><Relationship Id="rId38" Type="http://schemas.openxmlformats.org/officeDocument/2006/relationships/hyperlink" Target="https://www.youtube.com/watch?v=SVKKRzemX_w&amp;feature=kp" TargetMode="External"/><Relationship Id="rId19" Type="http://schemas.openxmlformats.org/officeDocument/2006/relationships/image" Target="media/image11.gif"/><Relationship Id="rId18" Type="http://schemas.openxmlformats.org/officeDocument/2006/relationships/hyperlink" Target="http://commoncore.org/maps/review/sos_titanic_eve_bunting" TargetMode="External"/></Relationships>
</file>